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2F293" w14:textId="495539E5" w:rsidR="004E1CE4" w:rsidRPr="001B21F0" w:rsidRDefault="004E1CE4">
      <w:pPr>
        <w:rPr>
          <w:rFonts w:ascii="Times New Roman" w:hAnsi="Times New Roman" w:cs="Times New Roman"/>
          <w:b/>
          <w:bCs/>
        </w:rPr>
      </w:pPr>
      <w:r w:rsidRPr="001B21F0">
        <w:rPr>
          <w:noProof/>
        </w:rPr>
        <w:drawing>
          <wp:inline distT="0" distB="0" distL="0" distR="0" wp14:anchorId="1598A8F4" wp14:editId="518D306B">
            <wp:extent cx="5273675" cy="4595414"/>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8120" b="30270"/>
                    <a:stretch/>
                  </pic:blipFill>
                  <pic:spPr bwMode="auto">
                    <a:xfrm>
                      <a:off x="0" y="0"/>
                      <a:ext cx="5274310" cy="4595967"/>
                    </a:xfrm>
                    <a:prstGeom prst="rect">
                      <a:avLst/>
                    </a:prstGeom>
                    <a:noFill/>
                    <a:ln>
                      <a:noFill/>
                    </a:ln>
                    <a:extLst>
                      <a:ext uri="{53640926-AAD7-44D8-BBD7-CCE9431645EC}">
                        <a14:shadowObscured xmlns:a14="http://schemas.microsoft.com/office/drawing/2010/main"/>
                      </a:ext>
                    </a:extLst>
                  </pic:spPr>
                </pic:pic>
              </a:graphicData>
            </a:graphic>
          </wp:inline>
        </w:drawing>
      </w:r>
    </w:p>
    <w:p w14:paraId="5A848771" w14:textId="47BF6185" w:rsidR="004E1CE4" w:rsidRPr="001B21F0" w:rsidRDefault="00A601BF">
      <w:pPr>
        <w:rPr>
          <w:rFonts w:ascii="Times New Roman" w:hAnsi="Times New Roman" w:cs="Times New Roman"/>
          <w:b/>
          <w:bCs/>
        </w:rPr>
      </w:pPr>
      <w:r w:rsidRPr="001B21F0">
        <w:rPr>
          <w:rStyle w:val="a9"/>
          <w:rFonts w:ascii="Times New Roman" w:hAnsi="Times New Roman" w:cs="Times New Roman"/>
        </w:rPr>
        <w:t>Supplementary Fig</w:t>
      </w:r>
      <w:r w:rsidR="009B4C37">
        <w:rPr>
          <w:rStyle w:val="a9"/>
          <w:rFonts w:ascii="Times New Roman" w:hAnsi="Times New Roman" w:cs="Times New Roman"/>
        </w:rPr>
        <w:t xml:space="preserve">. </w:t>
      </w:r>
      <w:r w:rsidRPr="001B21F0">
        <w:rPr>
          <w:rStyle w:val="a9"/>
          <w:rFonts w:ascii="Times New Roman" w:hAnsi="Times New Roman" w:cs="Times New Roman"/>
        </w:rPr>
        <w:t>1.</w:t>
      </w:r>
      <w:r w:rsidRPr="001B21F0">
        <w:rPr>
          <w:rFonts w:ascii="Times New Roman" w:hAnsi="Times New Roman" w:cs="Times New Roman"/>
        </w:rPr>
        <w:t xml:space="preserve"> Flow diagram of the study population. Approximately 1200 pregnant women with suspected threatened preterm labor were evaluated during the study period, of whom 316 met the inclusion criteria and were included in the final analysis. Reasons for exclusion at each stage are illustrated.</w:t>
      </w:r>
    </w:p>
    <w:p w14:paraId="04BFB41D" w14:textId="52448378" w:rsidR="004E1CE4" w:rsidRPr="001B21F0" w:rsidRDefault="004E1CE4">
      <w:pPr>
        <w:rPr>
          <w:rFonts w:ascii="Times New Roman" w:hAnsi="Times New Roman" w:cs="Times New Roman"/>
          <w:b/>
          <w:bCs/>
        </w:rPr>
      </w:pPr>
      <w:r w:rsidRPr="001B21F0">
        <w:rPr>
          <w:noProof/>
        </w:rPr>
        <w:drawing>
          <wp:inline distT="0" distB="0" distL="0" distR="0" wp14:anchorId="3CAAE178" wp14:editId="48F71108">
            <wp:extent cx="5273137" cy="2885209"/>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7811" b="53462"/>
                    <a:stretch/>
                  </pic:blipFill>
                  <pic:spPr bwMode="auto">
                    <a:xfrm>
                      <a:off x="0" y="0"/>
                      <a:ext cx="5274310" cy="2885851"/>
                    </a:xfrm>
                    <a:prstGeom prst="rect">
                      <a:avLst/>
                    </a:prstGeom>
                    <a:noFill/>
                    <a:ln>
                      <a:noFill/>
                    </a:ln>
                    <a:extLst>
                      <a:ext uri="{53640926-AAD7-44D8-BBD7-CCE9431645EC}">
                        <a14:shadowObscured xmlns:a14="http://schemas.microsoft.com/office/drawing/2010/main"/>
                      </a:ext>
                    </a:extLst>
                  </pic:spPr>
                </pic:pic>
              </a:graphicData>
            </a:graphic>
          </wp:inline>
        </w:drawing>
      </w:r>
    </w:p>
    <w:p w14:paraId="26553F50" w14:textId="294CDCCF" w:rsidR="00B64D0B" w:rsidRPr="001B21F0" w:rsidRDefault="0046777C">
      <w:pPr>
        <w:rPr>
          <w:rFonts w:ascii="Times New Roman" w:hAnsi="Times New Roman" w:cs="Times New Roman"/>
        </w:rPr>
      </w:pPr>
      <w:r w:rsidRPr="001B21F0">
        <w:rPr>
          <w:rFonts w:ascii="Times New Roman" w:hAnsi="Times New Roman" w:cs="Times New Roman"/>
          <w:b/>
          <w:bCs/>
        </w:rPr>
        <w:t>Supplementary Fig. 2.</w:t>
      </w:r>
      <w:r w:rsidRPr="001B21F0">
        <w:rPr>
          <w:rFonts w:ascii="Times New Roman" w:hAnsi="Times New Roman" w:cs="Times New Roman"/>
        </w:rPr>
        <w:t xml:space="preserve"> Standardized mean differences of baseline covariates before and after </w:t>
      </w:r>
      <w:r w:rsidRPr="001B21F0">
        <w:rPr>
          <w:rFonts w:ascii="Times New Roman" w:hAnsi="Times New Roman" w:cs="Times New Roman"/>
        </w:rPr>
        <w:lastRenderedPageBreak/>
        <w:t>inverse probability of treatment weighting (IPTW). The dashed vertical line indicates the threshold of 0.10, below which covariate balance is considered adequate. All covariates achieved standardized mean differences below 0.10 after weighting, indicating successful balance between treatment groups.</w:t>
      </w:r>
    </w:p>
    <w:p w14:paraId="7CB04AD9" w14:textId="12346025" w:rsidR="00DD4DB6" w:rsidRPr="001B21F0" w:rsidRDefault="00DD4DB6">
      <w:pPr>
        <w:rPr>
          <w:rFonts w:ascii="Times New Roman" w:hAnsi="Times New Roman" w:cs="Times New Roman"/>
        </w:rPr>
      </w:pPr>
    </w:p>
    <w:p w14:paraId="7E5921E9" w14:textId="3C76E9DF" w:rsidR="00DD4DB6" w:rsidRPr="001B21F0" w:rsidRDefault="00DD4DB6">
      <w:pPr>
        <w:rPr>
          <w:rFonts w:ascii="Times New Roman" w:hAnsi="Times New Roman" w:cs="Times New Roman"/>
        </w:rPr>
      </w:pPr>
    </w:p>
    <w:p w14:paraId="38F6DE2A" w14:textId="71B5B60A" w:rsidR="00DD4DB6" w:rsidRPr="001B21F0" w:rsidRDefault="00DD4DB6">
      <w:pPr>
        <w:rPr>
          <w:rFonts w:ascii="Times New Roman" w:hAnsi="Times New Roman" w:cs="Times New Roman"/>
        </w:rPr>
      </w:pPr>
    </w:p>
    <w:p w14:paraId="5BE7A77A" w14:textId="77777777" w:rsidR="0089505B" w:rsidRPr="001B21F0" w:rsidRDefault="0089505B" w:rsidP="0089505B">
      <w:pPr>
        <w:spacing w:before="100" w:beforeAutospacing="1" w:after="100" w:afterAutospacing="1" w:line="480" w:lineRule="auto"/>
        <w:outlineLvl w:val="0"/>
        <w:rPr>
          <w:rFonts w:ascii="Times New Roman" w:eastAsia="Times New Roman" w:hAnsi="Times New Roman" w:cs="Times New Roman"/>
          <w:b/>
          <w:bCs/>
          <w:kern w:val="36"/>
          <w:sz w:val="24"/>
          <w:szCs w:val="24"/>
          <w:lang w:eastAsia="tr-TR"/>
        </w:rPr>
      </w:pPr>
      <w:r w:rsidRPr="001B21F0">
        <w:rPr>
          <w:rFonts w:ascii="Times New Roman" w:eastAsia="Times New Roman" w:hAnsi="Times New Roman" w:cs="Times New Roman"/>
          <w:b/>
          <w:bCs/>
          <w:kern w:val="36"/>
          <w:sz w:val="24"/>
          <w:szCs w:val="24"/>
          <w:lang w:eastAsia="tr-TR"/>
        </w:rPr>
        <w:t>Supplementary Tables</w:t>
      </w:r>
    </w:p>
    <w:p w14:paraId="6110DE2B" w14:textId="140CFDF7" w:rsidR="0089505B" w:rsidRPr="001B21F0" w:rsidRDefault="0089505B" w:rsidP="0089505B">
      <w:pPr>
        <w:spacing w:before="100" w:beforeAutospacing="1" w:after="100" w:afterAutospacing="1" w:line="480" w:lineRule="auto"/>
        <w:outlineLvl w:val="1"/>
        <w:rPr>
          <w:rFonts w:ascii="Times New Roman" w:eastAsia="Times New Roman" w:hAnsi="Times New Roman" w:cs="Times New Roman"/>
          <w:b/>
          <w:bCs/>
          <w:sz w:val="24"/>
          <w:szCs w:val="24"/>
          <w:lang w:eastAsia="tr-TR"/>
        </w:rPr>
      </w:pPr>
      <w:r w:rsidRPr="001B21F0">
        <w:rPr>
          <w:rFonts w:ascii="Times New Roman" w:eastAsia="Times New Roman" w:hAnsi="Times New Roman" w:cs="Times New Roman"/>
          <w:b/>
          <w:bCs/>
          <w:sz w:val="24"/>
          <w:szCs w:val="24"/>
          <w:lang w:eastAsia="tr-TR"/>
        </w:rPr>
        <w:t>Supplementary Table 1. Sensitivity analyses of pre–post changes in fetal cardiac indices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3"/>
        <w:gridCol w:w="2851"/>
        <w:gridCol w:w="676"/>
        <w:gridCol w:w="2195"/>
        <w:gridCol w:w="691"/>
      </w:tblGrid>
      <w:tr w:rsidR="0089505B" w:rsidRPr="001B21F0" w14:paraId="32DBC450" w14:textId="77777777" w:rsidTr="005C5C97">
        <w:trPr>
          <w:tblHeader/>
          <w:tblCellSpacing w:w="15" w:type="dxa"/>
        </w:trPr>
        <w:tc>
          <w:tcPr>
            <w:tcW w:w="0" w:type="auto"/>
            <w:vAlign w:val="center"/>
            <w:hideMark/>
          </w:tcPr>
          <w:p w14:paraId="5F27F235" w14:textId="77777777" w:rsidR="0089505B" w:rsidRPr="001B21F0" w:rsidRDefault="0089505B" w:rsidP="005C5C97">
            <w:pPr>
              <w:spacing w:line="480" w:lineRule="auto"/>
              <w:jc w:val="center"/>
              <w:rPr>
                <w:rFonts w:ascii="Times New Roman" w:eastAsia="Times New Roman" w:hAnsi="Times New Roman" w:cs="Times New Roman"/>
                <w:b/>
                <w:bCs/>
                <w:szCs w:val="24"/>
                <w:lang w:eastAsia="tr-TR"/>
              </w:rPr>
            </w:pPr>
            <w:r w:rsidRPr="001B21F0">
              <w:rPr>
                <w:rFonts w:ascii="Times New Roman" w:eastAsia="Times New Roman" w:hAnsi="Times New Roman" w:cs="Times New Roman"/>
                <w:b/>
                <w:bCs/>
                <w:szCs w:val="24"/>
                <w:lang w:eastAsia="tr-TR"/>
              </w:rPr>
              <w:t>Outcome, Δ post–pre</w:t>
            </w:r>
          </w:p>
        </w:tc>
        <w:tc>
          <w:tcPr>
            <w:tcW w:w="0" w:type="auto"/>
            <w:vAlign w:val="center"/>
            <w:hideMark/>
          </w:tcPr>
          <w:p w14:paraId="1A83CC40" w14:textId="77777777" w:rsidR="0089505B" w:rsidRPr="001B21F0" w:rsidRDefault="0089505B" w:rsidP="005C5C97">
            <w:pPr>
              <w:spacing w:line="480" w:lineRule="auto"/>
              <w:jc w:val="center"/>
              <w:rPr>
                <w:rFonts w:ascii="Times New Roman" w:eastAsia="Times New Roman" w:hAnsi="Times New Roman" w:cs="Times New Roman"/>
                <w:b/>
                <w:bCs/>
                <w:szCs w:val="24"/>
                <w:lang w:eastAsia="tr-TR"/>
              </w:rPr>
            </w:pPr>
            <w:r w:rsidRPr="001B21F0">
              <w:rPr>
                <w:rFonts w:ascii="Times New Roman" w:eastAsia="Times New Roman" w:hAnsi="Times New Roman" w:cs="Times New Roman"/>
                <w:b/>
                <w:bCs/>
                <w:szCs w:val="24"/>
                <w:lang w:eastAsia="tr-TR"/>
              </w:rPr>
              <w:t>Multivariable-adjusted β (95% CI)</w:t>
            </w:r>
          </w:p>
        </w:tc>
        <w:tc>
          <w:tcPr>
            <w:tcW w:w="0" w:type="auto"/>
            <w:vAlign w:val="center"/>
            <w:hideMark/>
          </w:tcPr>
          <w:p w14:paraId="4D3F636E" w14:textId="77777777" w:rsidR="0089505B" w:rsidRPr="001B21F0" w:rsidRDefault="0089505B" w:rsidP="005C5C97">
            <w:pPr>
              <w:spacing w:line="480" w:lineRule="auto"/>
              <w:jc w:val="center"/>
              <w:rPr>
                <w:rFonts w:ascii="Times New Roman" w:eastAsia="Times New Roman" w:hAnsi="Times New Roman" w:cs="Times New Roman"/>
                <w:b/>
                <w:bCs/>
                <w:szCs w:val="24"/>
                <w:lang w:eastAsia="tr-TR"/>
              </w:rPr>
            </w:pPr>
            <w:r w:rsidRPr="001B21F0">
              <w:rPr>
                <w:rFonts w:ascii="Times New Roman" w:eastAsia="Times New Roman" w:hAnsi="Times New Roman" w:cs="Times New Roman"/>
                <w:b/>
                <w:bCs/>
                <w:szCs w:val="24"/>
                <w:lang w:eastAsia="tr-TR"/>
              </w:rPr>
              <w:t>p value</w:t>
            </w:r>
          </w:p>
        </w:tc>
        <w:tc>
          <w:tcPr>
            <w:tcW w:w="0" w:type="auto"/>
            <w:vAlign w:val="center"/>
            <w:hideMark/>
          </w:tcPr>
          <w:p w14:paraId="13D644EF" w14:textId="77777777" w:rsidR="0089505B" w:rsidRPr="001B21F0" w:rsidRDefault="0089505B" w:rsidP="005C5C97">
            <w:pPr>
              <w:spacing w:line="480" w:lineRule="auto"/>
              <w:jc w:val="center"/>
              <w:rPr>
                <w:rFonts w:ascii="Times New Roman" w:eastAsia="Times New Roman" w:hAnsi="Times New Roman" w:cs="Times New Roman"/>
                <w:b/>
                <w:bCs/>
                <w:szCs w:val="24"/>
                <w:lang w:eastAsia="tr-TR"/>
              </w:rPr>
            </w:pPr>
            <w:r w:rsidRPr="001B21F0">
              <w:rPr>
                <w:rFonts w:ascii="Times New Roman" w:eastAsia="Times New Roman" w:hAnsi="Times New Roman" w:cs="Times New Roman"/>
                <w:b/>
                <w:bCs/>
                <w:szCs w:val="24"/>
                <w:lang w:eastAsia="tr-TR"/>
              </w:rPr>
              <w:t>IPTW-adjusted β (95% CI)</w:t>
            </w:r>
          </w:p>
        </w:tc>
        <w:tc>
          <w:tcPr>
            <w:tcW w:w="0" w:type="auto"/>
            <w:vAlign w:val="center"/>
            <w:hideMark/>
          </w:tcPr>
          <w:p w14:paraId="1E1F53BA" w14:textId="77777777" w:rsidR="0089505B" w:rsidRPr="001B21F0" w:rsidRDefault="0089505B" w:rsidP="005C5C97">
            <w:pPr>
              <w:spacing w:line="480" w:lineRule="auto"/>
              <w:jc w:val="center"/>
              <w:rPr>
                <w:rFonts w:ascii="Times New Roman" w:eastAsia="Times New Roman" w:hAnsi="Times New Roman" w:cs="Times New Roman"/>
                <w:b/>
                <w:bCs/>
                <w:szCs w:val="24"/>
                <w:lang w:eastAsia="tr-TR"/>
              </w:rPr>
            </w:pPr>
            <w:r w:rsidRPr="001B21F0">
              <w:rPr>
                <w:rFonts w:ascii="Times New Roman" w:eastAsia="Times New Roman" w:hAnsi="Times New Roman" w:cs="Times New Roman"/>
                <w:b/>
                <w:bCs/>
                <w:szCs w:val="24"/>
                <w:lang w:eastAsia="tr-TR"/>
              </w:rPr>
              <w:t>p value</w:t>
            </w:r>
          </w:p>
        </w:tc>
      </w:tr>
      <w:tr w:rsidR="0089505B" w:rsidRPr="001B21F0" w14:paraId="40C8C894" w14:textId="77777777" w:rsidTr="005C5C97">
        <w:trPr>
          <w:tblCellSpacing w:w="15" w:type="dxa"/>
        </w:trPr>
        <w:tc>
          <w:tcPr>
            <w:tcW w:w="0" w:type="auto"/>
            <w:vAlign w:val="center"/>
            <w:hideMark/>
          </w:tcPr>
          <w:p w14:paraId="3406FE51"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Δ Left ventricular MPI</w:t>
            </w:r>
          </w:p>
        </w:tc>
        <w:tc>
          <w:tcPr>
            <w:tcW w:w="0" w:type="auto"/>
            <w:vAlign w:val="center"/>
            <w:hideMark/>
          </w:tcPr>
          <w:p w14:paraId="0B572752"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0.008 (−0.021 to 0.036)</w:t>
            </w:r>
          </w:p>
        </w:tc>
        <w:tc>
          <w:tcPr>
            <w:tcW w:w="0" w:type="auto"/>
            <w:vAlign w:val="center"/>
            <w:hideMark/>
          </w:tcPr>
          <w:p w14:paraId="298C299D"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0.607</w:t>
            </w:r>
          </w:p>
        </w:tc>
        <w:tc>
          <w:tcPr>
            <w:tcW w:w="0" w:type="auto"/>
            <w:vAlign w:val="center"/>
            <w:hideMark/>
          </w:tcPr>
          <w:p w14:paraId="0125480D"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−0.014 (−0.041 to 0.013)</w:t>
            </w:r>
          </w:p>
        </w:tc>
        <w:tc>
          <w:tcPr>
            <w:tcW w:w="0" w:type="auto"/>
            <w:vAlign w:val="center"/>
            <w:hideMark/>
          </w:tcPr>
          <w:p w14:paraId="0E49D04D"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0.313</w:t>
            </w:r>
          </w:p>
        </w:tc>
      </w:tr>
      <w:tr w:rsidR="0089505B" w:rsidRPr="001B21F0" w14:paraId="21C19206" w14:textId="77777777" w:rsidTr="005C5C97">
        <w:trPr>
          <w:tblCellSpacing w:w="15" w:type="dxa"/>
        </w:trPr>
        <w:tc>
          <w:tcPr>
            <w:tcW w:w="0" w:type="auto"/>
            <w:vAlign w:val="center"/>
            <w:hideMark/>
          </w:tcPr>
          <w:p w14:paraId="71C3BA5B"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Δ Right ventricular MPI</w:t>
            </w:r>
          </w:p>
        </w:tc>
        <w:tc>
          <w:tcPr>
            <w:tcW w:w="0" w:type="auto"/>
            <w:vAlign w:val="center"/>
            <w:hideMark/>
          </w:tcPr>
          <w:p w14:paraId="7CD11C75"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0.005 (−0.029 to 0.039)</w:t>
            </w:r>
          </w:p>
        </w:tc>
        <w:tc>
          <w:tcPr>
            <w:tcW w:w="0" w:type="auto"/>
            <w:vAlign w:val="center"/>
            <w:hideMark/>
          </w:tcPr>
          <w:p w14:paraId="7D3DA7D1"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0.768</w:t>
            </w:r>
          </w:p>
        </w:tc>
        <w:tc>
          <w:tcPr>
            <w:tcW w:w="0" w:type="auto"/>
            <w:vAlign w:val="center"/>
            <w:hideMark/>
          </w:tcPr>
          <w:p w14:paraId="415BEBBF"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0.009 (−0.021 to 0.039)</w:t>
            </w:r>
          </w:p>
        </w:tc>
        <w:tc>
          <w:tcPr>
            <w:tcW w:w="0" w:type="auto"/>
            <w:vAlign w:val="center"/>
            <w:hideMark/>
          </w:tcPr>
          <w:p w14:paraId="7E6FCABC"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0.574</w:t>
            </w:r>
          </w:p>
        </w:tc>
      </w:tr>
      <w:tr w:rsidR="0089505B" w:rsidRPr="001B21F0" w14:paraId="5CD13A01" w14:textId="77777777" w:rsidTr="005C5C97">
        <w:trPr>
          <w:tblCellSpacing w:w="15" w:type="dxa"/>
        </w:trPr>
        <w:tc>
          <w:tcPr>
            <w:tcW w:w="0" w:type="auto"/>
            <w:vAlign w:val="center"/>
            <w:hideMark/>
          </w:tcPr>
          <w:p w14:paraId="1A0BB019"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Δ Mitral E/A</w:t>
            </w:r>
          </w:p>
        </w:tc>
        <w:tc>
          <w:tcPr>
            <w:tcW w:w="0" w:type="auto"/>
            <w:vAlign w:val="center"/>
            <w:hideMark/>
          </w:tcPr>
          <w:p w14:paraId="4D6F603C"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0.045 (−0.052 to 0.141)</w:t>
            </w:r>
          </w:p>
        </w:tc>
        <w:tc>
          <w:tcPr>
            <w:tcW w:w="0" w:type="auto"/>
            <w:vAlign w:val="center"/>
            <w:hideMark/>
          </w:tcPr>
          <w:p w14:paraId="44CBBDA1"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0.362</w:t>
            </w:r>
          </w:p>
        </w:tc>
        <w:tc>
          <w:tcPr>
            <w:tcW w:w="0" w:type="auto"/>
            <w:vAlign w:val="center"/>
            <w:hideMark/>
          </w:tcPr>
          <w:p w14:paraId="5736AF8A"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0.067 (−0.069 to 0.204)</w:t>
            </w:r>
          </w:p>
        </w:tc>
        <w:tc>
          <w:tcPr>
            <w:tcW w:w="0" w:type="auto"/>
            <w:vAlign w:val="center"/>
            <w:hideMark/>
          </w:tcPr>
          <w:p w14:paraId="67F92A1B"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0.335</w:t>
            </w:r>
          </w:p>
        </w:tc>
      </w:tr>
      <w:tr w:rsidR="0089505B" w:rsidRPr="001B21F0" w14:paraId="46D71730" w14:textId="77777777" w:rsidTr="005C5C97">
        <w:trPr>
          <w:tblCellSpacing w:w="15" w:type="dxa"/>
        </w:trPr>
        <w:tc>
          <w:tcPr>
            <w:tcW w:w="0" w:type="auto"/>
            <w:vAlign w:val="center"/>
            <w:hideMark/>
          </w:tcPr>
          <w:p w14:paraId="61AB1D4A"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Δ Tricuspid E/A</w:t>
            </w:r>
          </w:p>
        </w:tc>
        <w:tc>
          <w:tcPr>
            <w:tcW w:w="0" w:type="auto"/>
            <w:vAlign w:val="center"/>
            <w:hideMark/>
          </w:tcPr>
          <w:p w14:paraId="7C8F936B"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0.033 (−0.056 to 0.122)</w:t>
            </w:r>
          </w:p>
        </w:tc>
        <w:tc>
          <w:tcPr>
            <w:tcW w:w="0" w:type="auto"/>
            <w:vAlign w:val="center"/>
            <w:hideMark/>
          </w:tcPr>
          <w:p w14:paraId="2B177386"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0.466</w:t>
            </w:r>
          </w:p>
        </w:tc>
        <w:tc>
          <w:tcPr>
            <w:tcW w:w="0" w:type="auto"/>
            <w:vAlign w:val="center"/>
            <w:hideMark/>
          </w:tcPr>
          <w:p w14:paraId="3DB794B3"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0.043 (−0.045 to 0.130)</w:t>
            </w:r>
          </w:p>
        </w:tc>
        <w:tc>
          <w:tcPr>
            <w:tcW w:w="0" w:type="auto"/>
            <w:vAlign w:val="center"/>
            <w:hideMark/>
          </w:tcPr>
          <w:p w14:paraId="46D079A2"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0.343</w:t>
            </w:r>
          </w:p>
        </w:tc>
      </w:tr>
      <w:tr w:rsidR="0089505B" w:rsidRPr="001B21F0" w14:paraId="48C135C5" w14:textId="77777777" w:rsidTr="005C5C97">
        <w:trPr>
          <w:tblCellSpacing w:w="15" w:type="dxa"/>
        </w:trPr>
        <w:tc>
          <w:tcPr>
            <w:tcW w:w="0" w:type="auto"/>
            <w:vAlign w:val="center"/>
            <w:hideMark/>
          </w:tcPr>
          <w:p w14:paraId="44A17663"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Δ Fetal heart rate (bpm)</w:t>
            </w:r>
          </w:p>
        </w:tc>
        <w:tc>
          <w:tcPr>
            <w:tcW w:w="0" w:type="auto"/>
            <w:vAlign w:val="center"/>
            <w:hideMark/>
          </w:tcPr>
          <w:p w14:paraId="014787AA"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−0.89 (−6.33 to 4.56)</w:t>
            </w:r>
          </w:p>
        </w:tc>
        <w:tc>
          <w:tcPr>
            <w:tcW w:w="0" w:type="auto"/>
            <w:vAlign w:val="center"/>
            <w:hideMark/>
          </w:tcPr>
          <w:p w14:paraId="302C341D"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0.749</w:t>
            </w:r>
          </w:p>
        </w:tc>
        <w:tc>
          <w:tcPr>
            <w:tcW w:w="0" w:type="auto"/>
            <w:vAlign w:val="center"/>
            <w:hideMark/>
          </w:tcPr>
          <w:p w14:paraId="2AD80E96"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−1.56 (−5.92 to 2.80)</w:t>
            </w:r>
          </w:p>
        </w:tc>
        <w:tc>
          <w:tcPr>
            <w:tcW w:w="0" w:type="auto"/>
            <w:vAlign w:val="center"/>
            <w:hideMark/>
          </w:tcPr>
          <w:p w14:paraId="3DB44B80"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0.482</w:t>
            </w:r>
          </w:p>
        </w:tc>
      </w:tr>
    </w:tbl>
    <w:p w14:paraId="373894A4" w14:textId="77777777" w:rsidR="0089505B" w:rsidRPr="001B21F0" w:rsidRDefault="0089505B" w:rsidP="0089505B">
      <w:pPr>
        <w:spacing w:before="100" w:beforeAutospacing="1" w:after="100" w:afterAutospacing="1"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b/>
          <w:bCs/>
          <w:szCs w:val="24"/>
          <w:lang w:eastAsia="tr-TR"/>
        </w:rPr>
        <w:t>Note:</w:t>
      </w:r>
      <w:r w:rsidRPr="001B21F0">
        <w:rPr>
          <w:rFonts w:ascii="Times New Roman" w:eastAsia="Times New Roman" w:hAnsi="Times New Roman" w:cs="Times New Roman"/>
          <w:szCs w:val="24"/>
          <w:lang w:eastAsia="tr-TR"/>
        </w:rPr>
        <w:t xml:space="preserve"> Multivariable models were adjusted for maternal age, gestational age, body mass index, gravidity, parity, presence of comorbidity, history of prior preterm birth, and duration of tocolysis. IPTW was based on a propensity score for </w:t>
      </w:r>
      <w:proofErr w:type="spellStart"/>
      <w:r w:rsidRPr="001B21F0">
        <w:rPr>
          <w:rFonts w:ascii="Times New Roman" w:eastAsia="Times New Roman" w:hAnsi="Times New Roman" w:cs="Times New Roman"/>
          <w:szCs w:val="24"/>
          <w:lang w:eastAsia="tr-TR"/>
        </w:rPr>
        <w:t>MgSO</w:t>
      </w:r>
      <w:proofErr w:type="spellEnd"/>
      <w:r w:rsidRPr="001B21F0">
        <w:rPr>
          <w:rFonts w:ascii="Times New Roman" w:eastAsia="Times New Roman" w:hAnsi="Times New Roman" w:cs="Times New Roman"/>
          <w:szCs w:val="24"/>
          <w:lang w:eastAsia="tr-TR"/>
        </w:rPr>
        <w:t>₄ exposure.</w:t>
      </w:r>
      <w:r w:rsidRPr="001B21F0">
        <w:rPr>
          <w:rFonts w:ascii="Times New Roman" w:eastAsia="Times New Roman" w:hAnsi="Times New Roman" w:cs="Times New Roman"/>
          <w:szCs w:val="24"/>
          <w:lang w:eastAsia="tr-TR"/>
        </w:rPr>
        <w:br/>
      </w:r>
      <w:r w:rsidRPr="001B21F0">
        <w:rPr>
          <w:rFonts w:ascii="Times New Roman" w:eastAsia="Times New Roman" w:hAnsi="Times New Roman" w:cs="Times New Roman"/>
          <w:b/>
          <w:bCs/>
          <w:szCs w:val="24"/>
          <w:lang w:eastAsia="tr-TR"/>
        </w:rPr>
        <w:lastRenderedPageBreak/>
        <w:t>Abbreviations:</w:t>
      </w:r>
      <w:r w:rsidRPr="001B21F0">
        <w:rPr>
          <w:rFonts w:ascii="Times New Roman" w:eastAsia="Times New Roman" w:hAnsi="Times New Roman" w:cs="Times New Roman"/>
          <w:szCs w:val="24"/>
          <w:lang w:eastAsia="tr-TR"/>
        </w:rPr>
        <w:t xml:space="preserve"> CI, confidence interval; IPTW, inverse probability of treatment weighting; MPI, myocardial performance index; </w:t>
      </w:r>
      <w:proofErr w:type="spellStart"/>
      <w:r w:rsidRPr="001B21F0">
        <w:rPr>
          <w:rFonts w:ascii="Times New Roman" w:eastAsia="Times New Roman" w:hAnsi="Times New Roman" w:cs="Times New Roman"/>
          <w:szCs w:val="24"/>
          <w:lang w:eastAsia="tr-TR"/>
        </w:rPr>
        <w:t>MgSO</w:t>
      </w:r>
      <w:proofErr w:type="spellEnd"/>
      <w:r w:rsidRPr="001B21F0">
        <w:rPr>
          <w:rFonts w:ascii="Times New Roman" w:eastAsia="Times New Roman" w:hAnsi="Times New Roman" w:cs="Times New Roman"/>
          <w:szCs w:val="24"/>
          <w:lang w:eastAsia="tr-TR"/>
        </w:rPr>
        <w:t>₄, magnesium sulfate.</w:t>
      </w:r>
    </w:p>
    <w:p w14:paraId="10AB3BC3" w14:textId="77777777" w:rsidR="0089505B" w:rsidRPr="001B21F0" w:rsidRDefault="0089505B" w:rsidP="0089505B">
      <w:pPr>
        <w:spacing w:line="480" w:lineRule="auto"/>
        <w:rPr>
          <w:rFonts w:ascii="Times New Roman" w:eastAsia="Times New Roman" w:hAnsi="Times New Roman" w:cs="Times New Roman"/>
          <w:szCs w:val="24"/>
          <w:lang w:eastAsia="tr-TR"/>
        </w:rPr>
      </w:pPr>
    </w:p>
    <w:p w14:paraId="142055B3" w14:textId="5177AD9E" w:rsidR="0089505B" w:rsidRPr="001B21F0" w:rsidRDefault="0089505B" w:rsidP="0089505B">
      <w:pPr>
        <w:spacing w:before="100" w:beforeAutospacing="1" w:after="100" w:afterAutospacing="1" w:line="480" w:lineRule="auto"/>
        <w:outlineLvl w:val="1"/>
        <w:rPr>
          <w:rFonts w:ascii="Times New Roman" w:eastAsia="Times New Roman" w:hAnsi="Times New Roman" w:cs="Times New Roman"/>
          <w:b/>
          <w:bCs/>
          <w:sz w:val="24"/>
          <w:szCs w:val="24"/>
          <w:lang w:eastAsia="tr-TR"/>
        </w:rPr>
      </w:pPr>
      <w:r w:rsidRPr="001B21F0">
        <w:rPr>
          <w:rFonts w:ascii="Times New Roman" w:eastAsia="Times New Roman" w:hAnsi="Times New Roman" w:cs="Times New Roman"/>
          <w:b/>
          <w:bCs/>
          <w:sz w:val="24"/>
          <w:szCs w:val="24"/>
          <w:lang w:eastAsia="tr-TR"/>
        </w:rPr>
        <w:t>Supplementary Table 2. Standardized mean differences of baseline covariates before and after IPTW</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08"/>
        <w:gridCol w:w="1653"/>
        <w:gridCol w:w="2539"/>
      </w:tblGrid>
      <w:tr w:rsidR="0089505B" w:rsidRPr="001B21F0" w14:paraId="4CFD5A3A" w14:textId="77777777" w:rsidTr="005C5C97">
        <w:trPr>
          <w:tblHeader/>
          <w:tblCellSpacing w:w="15" w:type="dxa"/>
        </w:trPr>
        <w:tc>
          <w:tcPr>
            <w:tcW w:w="0" w:type="auto"/>
            <w:vAlign w:val="center"/>
            <w:hideMark/>
          </w:tcPr>
          <w:p w14:paraId="37846DCC" w14:textId="77777777" w:rsidR="0089505B" w:rsidRPr="001B21F0" w:rsidRDefault="0089505B" w:rsidP="005C5C97">
            <w:pPr>
              <w:spacing w:line="480" w:lineRule="auto"/>
              <w:jc w:val="center"/>
              <w:rPr>
                <w:rFonts w:ascii="Times New Roman" w:eastAsia="Times New Roman" w:hAnsi="Times New Roman" w:cs="Times New Roman"/>
                <w:b/>
                <w:bCs/>
                <w:szCs w:val="24"/>
                <w:lang w:eastAsia="tr-TR"/>
              </w:rPr>
            </w:pPr>
            <w:r w:rsidRPr="001B21F0">
              <w:rPr>
                <w:rFonts w:ascii="Times New Roman" w:eastAsia="Times New Roman" w:hAnsi="Times New Roman" w:cs="Times New Roman"/>
                <w:b/>
                <w:bCs/>
                <w:szCs w:val="24"/>
                <w:lang w:eastAsia="tr-TR"/>
              </w:rPr>
              <w:t>Covariate</w:t>
            </w:r>
          </w:p>
        </w:tc>
        <w:tc>
          <w:tcPr>
            <w:tcW w:w="0" w:type="auto"/>
            <w:vAlign w:val="center"/>
            <w:hideMark/>
          </w:tcPr>
          <w:p w14:paraId="6E7506AB" w14:textId="77777777" w:rsidR="0089505B" w:rsidRPr="001B21F0" w:rsidRDefault="0089505B" w:rsidP="005C5C97">
            <w:pPr>
              <w:spacing w:line="480" w:lineRule="auto"/>
              <w:jc w:val="center"/>
              <w:rPr>
                <w:rFonts w:ascii="Times New Roman" w:eastAsia="Times New Roman" w:hAnsi="Times New Roman" w:cs="Times New Roman"/>
                <w:b/>
                <w:bCs/>
                <w:szCs w:val="24"/>
                <w:lang w:eastAsia="tr-TR"/>
              </w:rPr>
            </w:pPr>
            <w:r w:rsidRPr="001B21F0">
              <w:rPr>
                <w:rFonts w:ascii="Times New Roman" w:eastAsia="Times New Roman" w:hAnsi="Times New Roman" w:cs="Times New Roman"/>
                <w:b/>
                <w:bCs/>
                <w:szCs w:val="24"/>
                <w:lang w:eastAsia="tr-TR"/>
              </w:rPr>
              <w:t>Unweighted SMD</w:t>
            </w:r>
          </w:p>
        </w:tc>
        <w:tc>
          <w:tcPr>
            <w:tcW w:w="0" w:type="auto"/>
            <w:vAlign w:val="center"/>
            <w:hideMark/>
          </w:tcPr>
          <w:p w14:paraId="1A8DCCFA" w14:textId="77777777" w:rsidR="0089505B" w:rsidRPr="001B21F0" w:rsidRDefault="0089505B" w:rsidP="005C5C97">
            <w:pPr>
              <w:spacing w:line="480" w:lineRule="auto"/>
              <w:jc w:val="center"/>
              <w:rPr>
                <w:rFonts w:ascii="Times New Roman" w:eastAsia="Times New Roman" w:hAnsi="Times New Roman" w:cs="Times New Roman"/>
                <w:b/>
                <w:bCs/>
                <w:szCs w:val="24"/>
                <w:lang w:eastAsia="tr-TR"/>
              </w:rPr>
            </w:pPr>
            <w:r w:rsidRPr="001B21F0">
              <w:rPr>
                <w:rFonts w:ascii="Times New Roman" w:eastAsia="Times New Roman" w:hAnsi="Times New Roman" w:cs="Times New Roman"/>
                <w:b/>
                <w:bCs/>
                <w:szCs w:val="24"/>
                <w:lang w:eastAsia="tr-TR"/>
              </w:rPr>
              <w:t>Weighted SMD after IPTW</w:t>
            </w:r>
          </w:p>
        </w:tc>
      </w:tr>
      <w:tr w:rsidR="0089505B" w:rsidRPr="001B21F0" w14:paraId="55030EE6" w14:textId="77777777" w:rsidTr="005C5C97">
        <w:trPr>
          <w:tblCellSpacing w:w="15" w:type="dxa"/>
        </w:trPr>
        <w:tc>
          <w:tcPr>
            <w:tcW w:w="0" w:type="auto"/>
            <w:vAlign w:val="center"/>
            <w:hideMark/>
          </w:tcPr>
          <w:p w14:paraId="2E7B40E2"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Maternal age (years)</w:t>
            </w:r>
          </w:p>
        </w:tc>
        <w:tc>
          <w:tcPr>
            <w:tcW w:w="0" w:type="auto"/>
            <w:vAlign w:val="center"/>
            <w:hideMark/>
          </w:tcPr>
          <w:p w14:paraId="4974E176"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0.21</w:t>
            </w:r>
          </w:p>
        </w:tc>
        <w:tc>
          <w:tcPr>
            <w:tcW w:w="0" w:type="auto"/>
            <w:vAlign w:val="center"/>
            <w:hideMark/>
          </w:tcPr>
          <w:p w14:paraId="23FA5106"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0.04</w:t>
            </w:r>
          </w:p>
        </w:tc>
      </w:tr>
      <w:tr w:rsidR="0089505B" w:rsidRPr="001B21F0" w14:paraId="0199C065" w14:textId="77777777" w:rsidTr="005C5C97">
        <w:trPr>
          <w:tblCellSpacing w:w="15" w:type="dxa"/>
        </w:trPr>
        <w:tc>
          <w:tcPr>
            <w:tcW w:w="0" w:type="auto"/>
            <w:vAlign w:val="center"/>
            <w:hideMark/>
          </w:tcPr>
          <w:p w14:paraId="715F5E79"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Gestational age (weeks)</w:t>
            </w:r>
          </w:p>
        </w:tc>
        <w:tc>
          <w:tcPr>
            <w:tcW w:w="0" w:type="auto"/>
            <w:vAlign w:val="center"/>
            <w:hideMark/>
          </w:tcPr>
          <w:p w14:paraId="72B84EC0"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0.44</w:t>
            </w:r>
          </w:p>
        </w:tc>
        <w:tc>
          <w:tcPr>
            <w:tcW w:w="0" w:type="auto"/>
            <w:vAlign w:val="center"/>
            <w:hideMark/>
          </w:tcPr>
          <w:p w14:paraId="23B21343"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0.01</w:t>
            </w:r>
          </w:p>
        </w:tc>
      </w:tr>
      <w:tr w:rsidR="0089505B" w:rsidRPr="001B21F0" w14:paraId="63A2B143" w14:textId="77777777" w:rsidTr="005C5C97">
        <w:trPr>
          <w:tblCellSpacing w:w="15" w:type="dxa"/>
        </w:trPr>
        <w:tc>
          <w:tcPr>
            <w:tcW w:w="0" w:type="auto"/>
            <w:vAlign w:val="center"/>
            <w:hideMark/>
          </w:tcPr>
          <w:p w14:paraId="02768803"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BMI (kg/m²)</w:t>
            </w:r>
          </w:p>
        </w:tc>
        <w:tc>
          <w:tcPr>
            <w:tcW w:w="0" w:type="auto"/>
            <w:vAlign w:val="center"/>
            <w:hideMark/>
          </w:tcPr>
          <w:p w14:paraId="184C79BD"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0.19</w:t>
            </w:r>
          </w:p>
        </w:tc>
        <w:tc>
          <w:tcPr>
            <w:tcW w:w="0" w:type="auto"/>
            <w:vAlign w:val="center"/>
            <w:hideMark/>
          </w:tcPr>
          <w:p w14:paraId="48E711CD"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0.27</w:t>
            </w:r>
          </w:p>
        </w:tc>
      </w:tr>
      <w:tr w:rsidR="0089505B" w:rsidRPr="001B21F0" w14:paraId="6C04196C" w14:textId="77777777" w:rsidTr="005C5C97">
        <w:trPr>
          <w:tblCellSpacing w:w="15" w:type="dxa"/>
        </w:trPr>
        <w:tc>
          <w:tcPr>
            <w:tcW w:w="0" w:type="auto"/>
            <w:vAlign w:val="center"/>
            <w:hideMark/>
          </w:tcPr>
          <w:p w14:paraId="73773A05"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Gravidity</w:t>
            </w:r>
          </w:p>
        </w:tc>
        <w:tc>
          <w:tcPr>
            <w:tcW w:w="0" w:type="auto"/>
            <w:vAlign w:val="center"/>
            <w:hideMark/>
          </w:tcPr>
          <w:p w14:paraId="3FF9B41F"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0.02</w:t>
            </w:r>
          </w:p>
        </w:tc>
        <w:tc>
          <w:tcPr>
            <w:tcW w:w="0" w:type="auto"/>
            <w:vAlign w:val="center"/>
            <w:hideMark/>
          </w:tcPr>
          <w:p w14:paraId="697FEF16"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0.09</w:t>
            </w:r>
          </w:p>
        </w:tc>
      </w:tr>
      <w:tr w:rsidR="0089505B" w:rsidRPr="001B21F0" w14:paraId="176766DF" w14:textId="77777777" w:rsidTr="005C5C97">
        <w:trPr>
          <w:tblCellSpacing w:w="15" w:type="dxa"/>
        </w:trPr>
        <w:tc>
          <w:tcPr>
            <w:tcW w:w="0" w:type="auto"/>
            <w:vAlign w:val="center"/>
            <w:hideMark/>
          </w:tcPr>
          <w:p w14:paraId="74503CCB"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Parity</w:t>
            </w:r>
          </w:p>
        </w:tc>
        <w:tc>
          <w:tcPr>
            <w:tcW w:w="0" w:type="auto"/>
            <w:vAlign w:val="center"/>
            <w:hideMark/>
          </w:tcPr>
          <w:p w14:paraId="45391BA0"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0.41</w:t>
            </w:r>
          </w:p>
        </w:tc>
        <w:tc>
          <w:tcPr>
            <w:tcW w:w="0" w:type="auto"/>
            <w:vAlign w:val="center"/>
            <w:hideMark/>
          </w:tcPr>
          <w:p w14:paraId="3AE5A7E9"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0.16</w:t>
            </w:r>
          </w:p>
        </w:tc>
      </w:tr>
      <w:tr w:rsidR="0089505B" w:rsidRPr="001B21F0" w14:paraId="2CE07780" w14:textId="77777777" w:rsidTr="005C5C97">
        <w:trPr>
          <w:tblCellSpacing w:w="15" w:type="dxa"/>
        </w:trPr>
        <w:tc>
          <w:tcPr>
            <w:tcW w:w="0" w:type="auto"/>
            <w:vAlign w:val="center"/>
            <w:hideMark/>
          </w:tcPr>
          <w:p w14:paraId="74E22897"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Duration of tocolysis (hours)</w:t>
            </w:r>
          </w:p>
        </w:tc>
        <w:tc>
          <w:tcPr>
            <w:tcW w:w="0" w:type="auto"/>
            <w:vAlign w:val="center"/>
            <w:hideMark/>
          </w:tcPr>
          <w:p w14:paraId="233C0FCF"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1.15</w:t>
            </w:r>
          </w:p>
        </w:tc>
        <w:tc>
          <w:tcPr>
            <w:tcW w:w="0" w:type="auto"/>
            <w:vAlign w:val="center"/>
            <w:hideMark/>
          </w:tcPr>
          <w:p w14:paraId="523741B4" w14:textId="77777777" w:rsidR="0089505B" w:rsidRPr="001B21F0" w:rsidRDefault="0089505B" w:rsidP="005C5C97">
            <w:pPr>
              <w:spacing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szCs w:val="24"/>
                <w:lang w:eastAsia="tr-TR"/>
              </w:rPr>
              <w:t>0.37</w:t>
            </w:r>
          </w:p>
        </w:tc>
      </w:tr>
    </w:tbl>
    <w:p w14:paraId="3A552C90" w14:textId="77777777" w:rsidR="0089505B" w:rsidRPr="0089505B" w:rsidRDefault="0089505B" w:rsidP="0089505B">
      <w:pPr>
        <w:spacing w:before="100" w:beforeAutospacing="1" w:after="100" w:afterAutospacing="1" w:line="480" w:lineRule="auto"/>
        <w:rPr>
          <w:rFonts w:ascii="Times New Roman" w:eastAsia="Times New Roman" w:hAnsi="Times New Roman" w:cs="Times New Roman"/>
          <w:szCs w:val="24"/>
          <w:lang w:eastAsia="tr-TR"/>
        </w:rPr>
      </w:pPr>
      <w:r w:rsidRPr="001B21F0">
        <w:rPr>
          <w:rFonts w:ascii="Times New Roman" w:eastAsia="Times New Roman" w:hAnsi="Times New Roman" w:cs="Times New Roman"/>
          <w:b/>
          <w:bCs/>
          <w:szCs w:val="24"/>
          <w:lang w:eastAsia="tr-TR"/>
        </w:rPr>
        <w:t>Note:</w:t>
      </w:r>
      <w:r w:rsidRPr="001B21F0">
        <w:rPr>
          <w:rFonts w:ascii="Times New Roman" w:eastAsia="Times New Roman" w:hAnsi="Times New Roman" w:cs="Times New Roman"/>
          <w:szCs w:val="24"/>
          <w:lang w:eastAsia="tr-TR"/>
        </w:rPr>
        <w:t xml:space="preserve"> Standardized mean differences were used to assess covariate balance before and after IPTW. Although weighting improved balance for several baseline variables, residual imbalance remained for BMI, parity, and duration of tocolysis; therefore, adjusted sensitivity analyses were interpreted cautiously.</w:t>
      </w:r>
      <w:r w:rsidRPr="001B21F0">
        <w:rPr>
          <w:rFonts w:ascii="Times New Roman" w:eastAsia="Times New Roman" w:hAnsi="Times New Roman" w:cs="Times New Roman"/>
          <w:szCs w:val="24"/>
          <w:lang w:eastAsia="tr-TR"/>
        </w:rPr>
        <w:br/>
      </w:r>
      <w:r w:rsidRPr="001B21F0">
        <w:rPr>
          <w:rFonts w:ascii="Times New Roman" w:eastAsia="Times New Roman" w:hAnsi="Times New Roman" w:cs="Times New Roman"/>
          <w:b/>
          <w:bCs/>
          <w:szCs w:val="24"/>
          <w:lang w:eastAsia="tr-TR"/>
        </w:rPr>
        <w:t>Abbreviations:</w:t>
      </w:r>
      <w:r w:rsidRPr="001B21F0">
        <w:rPr>
          <w:rFonts w:ascii="Times New Roman" w:eastAsia="Times New Roman" w:hAnsi="Times New Roman" w:cs="Times New Roman"/>
          <w:szCs w:val="24"/>
          <w:lang w:eastAsia="tr-TR"/>
        </w:rPr>
        <w:t xml:space="preserve"> BMI, body mass index; IPTW, inverse probability of treatment weighting; SMD, standardized mean differe</w:t>
      </w:r>
      <w:bookmarkStart w:id="0" w:name="_GoBack"/>
      <w:bookmarkEnd w:id="0"/>
      <w:r w:rsidRPr="001B21F0">
        <w:rPr>
          <w:rFonts w:ascii="Times New Roman" w:eastAsia="Times New Roman" w:hAnsi="Times New Roman" w:cs="Times New Roman"/>
          <w:szCs w:val="24"/>
          <w:lang w:eastAsia="tr-TR"/>
        </w:rPr>
        <w:t>nce.</w:t>
      </w:r>
    </w:p>
    <w:p w14:paraId="63159418" w14:textId="4DDF3D4D" w:rsidR="00DD4DB6" w:rsidRPr="00DD4DB6" w:rsidRDefault="00DD4DB6">
      <w:pPr>
        <w:rPr>
          <w:rFonts w:ascii="Times New Roman" w:hAnsi="Times New Roman" w:cs="Times New Roman"/>
        </w:rPr>
      </w:pPr>
    </w:p>
    <w:sectPr w:rsidR="00DD4DB6" w:rsidRPr="00DD4D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C9D7D" w14:textId="77777777" w:rsidR="005C03B8" w:rsidRDefault="005C03B8" w:rsidP="0046777C">
      <w:r>
        <w:separator/>
      </w:r>
    </w:p>
  </w:endnote>
  <w:endnote w:type="continuationSeparator" w:id="0">
    <w:p w14:paraId="604CB50E" w14:textId="77777777" w:rsidR="005C03B8" w:rsidRDefault="005C03B8" w:rsidP="00467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5FD37" w14:textId="77777777" w:rsidR="005C03B8" w:rsidRDefault="005C03B8" w:rsidP="0046777C">
      <w:r>
        <w:separator/>
      </w:r>
    </w:p>
  </w:footnote>
  <w:footnote w:type="continuationSeparator" w:id="0">
    <w:p w14:paraId="275FC12B" w14:textId="77777777" w:rsidR="005C03B8" w:rsidRDefault="005C03B8" w:rsidP="00467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468F5"/>
    <w:multiLevelType w:val="hybridMultilevel"/>
    <w:tmpl w:val="658299A2"/>
    <w:lvl w:ilvl="0" w:tplc="CE24E69A">
      <w:start w:val="1"/>
      <w:numFmt w:val="bullet"/>
      <w:lvlRestart w:val="0"/>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84B"/>
    <w:rsid w:val="000945CE"/>
    <w:rsid w:val="001B21F0"/>
    <w:rsid w:val="001C4626"/>
    <w:rsid w:val="002A405A"/>
    <w:rsid w:val="00375A04"/>
    <w:rsid w:val="00404970"/>
    <w:rsid w:val="0046777C"/>
    <w:rsid w:val="004E1CE4"/>
    <w:rsid w:val="005C03B8"/>
    <w:rsid w:val="006A284B"/>
    <w:rsid w:val="008855F7"/>
    <w:rsid w:val="0089505B"/>
    <w:rsid w:val="009B4C37"/>
    <w:rsid w:val="00A11BB4"/>
    <w:rsid w:val="00A54373"/>
    <w:rsid w:val="00A601BF"/>
    <w:rsid w:val="00B64D0B"/>
    <w:rsid w:val="00C20DAC"/>
    <w:rsid w:val="00C3595B"/>
    <w:rsid w:val="00D91B27"/>
    <w:rsid w:val="00DD4DB6"/>
    <w:rsid w:val="00E4677D"/>
    <w:rsid w:val="00F67DBA"/>
    <w:rsid w:val="00F90DB3"/>
    <w:rsid w:val="00FA4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7B4B6"/>
  <w15:chartTrackingRefBased/>
  <w15:docId w15:val="{FBCB4604-F3B4-4849-9306-C1B14E073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11" w:qFormat="1"/>
    <w:lsdException w:name="heading 2" w:semiHidden="1" w:uiPriority="9" w:unhideWhenUsed="1" w:qFormat="1"/>
    <w:lsdException w:name="heading 3" w:semiHidden="1" w:uiPriority="9" w:unhideWhenUsed="1" w:qFormat="1"/>
    <w:lsdException w:name="heading 4" w:semiHidden="1" w:uiPriority="1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2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aliases w:val="Heading level 1"/>
    <w:basedOn w:val="a"/>
    <w:next w:val="a"/>
    <w:link w:val="10"/>
    <w:uiPriority w:val="11"/>
    <w:qFormat/>
    <w:rsid w:val="00404970"/>
    <w:pPr>
      <w:keepNext/>
      <w:keepLines/>
      <w:widowControl/>
      <w:adjustRightInd w:val="0"/>
      <w:snapToGrid w:val="0"/>
      <w:spacing w:before="360" w:after="360"/>
      <w:outlineLvl w:val="0"/>
    </w:pPr>
    <w:rPr>
      <w:rFonts w:ascii="Times New Roman" w:eastAsia="Times New Roman" w:hAnsi="Times New Roman" w:cs="Times New Roman"/>
      <w:b/>
      <w:bCs/>
      <w:noProof/>
      <w:color w:val="000000"/>
      <w:kern w:val="44"/>
      <w:sz w:val="24"/>
      <w:szCs w:val="24"/>
    </w:rPr>
  </w:style>
  <w:style w:type="paragraph" w:styleId="2">
    <w:name w:val="heading 2"/>
    <w:aliases w:val="Heading level 2"/>
    <w:basedOn w:val="a"/>
    <w:next w:val="a"/>
    <w:link w:val="20"/>
    <w:uiPriority w:val="9"/>
    <w:qFormat/>
    <w:rsid w:val="00404970"/>
    <w:pPr>
      <w:keepNext/>
      <w:keepLines/>
      <w:widowControl/>
      <w:adjustRightInd w:val="0"/>
      <w:snapToGrid w:val="0"/>
      <w:spacing w:before="240" w:after="240"/>
      <w:outlineLvl w:val="1"/>
    </w:pPr>
    <w:rPr>
      <w:rFonts w:ascii="Times New Roman" w:eastAsia="Times New Roman" w:hAnsi="Times New Roman" w:cs="Times New Roman"/>
      <w:b/>
      <w:bCs/>
      <w:i/>
      <w:noProof/>
      <w:color w:val="000000"/>
      <w:kern w:val="0"/>
      <w:szCs w:val="21"/>
    </w:rPr>
  </w:style>
  <w:style w:type="paragraph" w:styleId="3">
    <w:name w:val="heading 3"/>
    <w:aliases w:val="Heading level 3"/>
    <w:basedOn w:val="a"/>
    <w:next w:val="a"/>
    <w:link w:val="30"/>
    <w:uiPriority w:val="9"/>
    <w:qFormat/>
    <w:rsid w:val="00404970"/>
    <w:pPr>
      <w:keepNext/>
      <w:keepLines/>
      <w:widowControl/>
      <w:adjustRightInd w:val="0"/>
      <w:snapToGrid w:val="0"/>
      <w:spacing w:before="160" w:after="160"/>
      <w:outlineLvl w:val="2"/>
    </w:pPr>
    <w:rPr>
      <w:rFonts w:ascii="Times New Roman" w:eastAsia="Times New Roman" w:hAnsi="Times New Roman" w:cs="Times New Roman"/>
      <w:bCs/>
      <w:i/>
      <w:noProof/>
      <w:color w:val="000000"/>
      <w:kern w:val="0"/>
      <w:szCs w:val="21"/>
    </w:rPr>
  </w:style>
  <w:style w:type="paragraph" w:styleId="4">
    <w:name w:val="heading 4"/>
    <w:aliases w:val="Heading level 4"/>
    <w:basedOn w:val="a"/>
    <w:next w:val="a"/>
    <w:link w:val="40"/>
    <w:uiPriority w:val="11"/>
    <w:rsid w:val="00404970"/>
    <w:pPr>
      <w:keepNext/>
      <w:keepLines/>
      <w:widowControl/>
      <w:spacing w:before="120" w:after="120"/>
      <w:outlineLvl w:val="3"/>
    </w:pPr>
    <w:rPr>
      <w:rFonts w:ascii="Times New Roman" w:eastAsia="Times New Roman" w:hAnsi="Times New Roman" w:cs="Times New Roman"/>
      <w:bCs/>
      <w:noProof/>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stract">
    <w:name w:val="Abstract"/>
    <w:next w:val="a"/>
    <w:uiPriority w:val="9"/>
    <w:qFormat/>
    <w:rsid w:val="00404970"/>
    <w:pPr>
      <w:jc w:val="both"/>
    </w:pPr>
    <w:rPr>
      <w:rFonts w:ascii="Times New Roman" w:eastAsia="Times New Roman" w:hAnsi="Times New Roman" w:cs="Times New Roman"/>
      <w:color w:val="000000"/>
      <w:kern w:val="0"/>
      <w:szCs w:val="21"/>
      <w:lang w:eastAsia="de-DE" w:bidi="en-US"/>
    </w:rPr>
  </w:style>
  <w:style w:type="paragraph" w:customStyle="1" w:styleId="Academiceditor">
    <w:name w:val="Academic editor"/>
    <w:uiPriority w:val="6"/>
    <w:qFormat/>
    <w:rsid w:val="00404970"/>
    <w:pPr>
      <w:jc w:val="both"/>
    </w:pPr>
    <w:rPr>
      <w:rFonts w:ascii="Times New Roman" w:eastAsia="Times New Roman" w:hAnsi="Times New Roman" w:cs="Times New Roman"/>
      <w:color w:val="000000"/>
      <w:kern w:val="0"/>
      <w:szCs w:val="21"/>
      <w:lang w:eastAsia="de-DE" w:bidi="en-US"/>
    </w:rPr>
  </w:style>
  <w:style w:type="paragraph" w:customStyle="1" w:styleId="Affiliation">
    <w:name w:val="Affiliation"/>
    <w:uiPriority w:val="3"/>
    <w:qFormat/>
    <w:rsid w:val="00404970"/>
    <w:pPr>
      <w:jc w:val="both"/>
    </w:pPr>
    <w:rPr>
      <w:rFonts w:ascii="Times New Roman" w:eastAsia="Times New Roman" w:hAnsi="Times New Roman" w:cs="Times New Roman"/>
      <w:color w:val="000000"/>
      <w:kern w:val="0"/>
      <w:szCs w:val="21"/>
      <w:lang w:eastAsia="de-DE" w:bidi="en-US"/>
    </w:rPr>
  </w:style>
  <w:style w:type="paragraph" w:customStyle="1" w:styleId="Articletitle">
    <w:name w:val="Article title"/>
    <w:next w:val="a"/>
    <w:uiPriority w:val="1"/>
    <w:qFormat/>
    <w:rsid w:val="00404970"/>
    <w:pPr>
      <w:adjustRightInd w:val="0"/>
      <w:snapToGrid w:val="0"/>
      <w:jc w:val="both"/>
    </w:pPr>
    <w:rPr>
      <w:rFonts w:ascii="Times New Roman" w:eastAsia="Times New Roman" w:hAnsi="Times New Roman" w:cs="Times New Roman"/>
      <w:b/>
      <w:snapToGrid w:val="0"/>
      <w:color w:val="000000"/>
      <w:kern w:val="0"/>
      <w:sz w:val="36"/>
      <w:szCs w:val="20"/>
      <w:lang w:eastAsia="de-DE" w:bidi="en-US"/>
    </w:rPr>
  </w:style>
  <w:style w:type="paragraph" w:customStyle="1" w:styleId="Articletype">
    <w:name w:val="Article type"/>
    <w:next w:val="a"/>
    <w:qFormat/>
    <w:rsid w:val="00404970"/>
    <w:pPr>
      <w:adjustRightInd w:val="0"/>
      <w:snapToGrid w:val="0"/>
    </w:pPr>
    <w:rPr>
      <w:rFonts w:ascii="Times New Roman" w:eastAsia="Times New Roman" w:hAnsi="Times New Roman" w:cs="Times New Roman"/>
      <w:i/>
      <w:snapToGrid w:val="0"/>
      <w:color w:val="000000"/>
      <w:kern w:val="0"/>
      <w:sz w:val="20"/>
      <w:lang w:eastAsia="de-DE" w:bidi="en-US"/>
    </w:rPr>
  </w:style>
  <w:style w:type="paragraph" w:customStyle="1" w:styleId="Authornames">
    <w:name w:val="Authornames"/>
    <w:next w:val="a"/>
    <w:uiPriority w:val="2"/>
    <w:qFormat/>
    <w:rsid w:val="00404970"/>
    <w:pPr>
      <w:jc w:val="both"/>
    </w:pPr>
    <w:rPr>
      <w:rFonts w:ascii="Times New Roman" w:eastAsia="Times New Roman" w:hAnsi="Times New Roman" w:cs="Times New Roman"/>
      <w:color w:val="000000"/>
      <w:kern w:val="0"/>
      <w:szCs w:val="21"/>
      <w:lang w:eastAsia="de-DE" w:bidi="en-US"/>
    </w:rPr>
  </w:style>
  <w:style w:type="paragraph" w:customStyle="1" w:styleId="Backmatter">
    <w:name w:val="Back matter"/>
    <w:uiPriority w:val="18"/>
    <w:qFormat/>
    <w:rsid w:val="00404970"/>
    <w:pPr>
      <w:adjustRightInd w:val="0"/>
      <w:snapToGrid w:val="0"/>
      <w:spacing w:beforeLines="50" w:before="50" w:afterLines="50" w:after="50"/>
      <w:jc w:val="both"/>
    </w:pPr>
    <w:rPr>
      <w:rFonts w:ascii="Times New Roman" w:eastAsia="Times New Roman" w:hAnsi="Times New Roman" w:cs="Times New Roman"/>
      <w:b/>
      <w:snapToGrid w:val="0"/>
      <w:color w:val="000000"/>
      <w:kern w:val="0"/>
      <w:sz w:val="24"/>
      <w:szCs w:val="24"/>
      <w:lang w:eastAsia="en-US" w:bidi="en-US"/>
    </w:rPr>
  </w:style>
  <w:style w:type="paragraph" w:customStyle="1" w:styleId="Backmattertext">
    <w:name w:val="Back matter text"/>
    <w:link w:val="Backmattertext0"/>
    <w:uiPriority w:val="19"/>
    <w:qFormat/>
    <w:rsid w:val="00404970"/>
    <w:pPr>
      <w:ind w:firstLineChars="200" w:firstLine="200"/>
      <w:jc w:val="both"/>
    </w:pPr>
    <w:rPr>
      <w:rFonts w:ascii="Times New Roman" w:eastAsia="Times New Roman" w:hAnsi="Times New Roman" w:cs="Times New Roman"/>
      <w:snapToGrid w:val="0"/>
      <w:color w:val="000000"/>
      <w:kern w:val="0"/>
      <w:lang w:eastAsia="de-DE" w:bidi="en-US"/>
    </w:rPr>
  </w:style>
  <w:style w:type="character" w:customStyle="1" w:styleId="Backmattertext0">
    <w:name w:val="Back matter text 字符"/>
    <w:basedOn w:val="a0"/>
    <w:link w:val="Backmattertext"/>
    <w:uiPriority w:val="19"/>
    <w:rsid w:val="00404970"/>
    <w:rPr>
      <w:rFonts w:ascii="Times New Roman" w:eastAsia="Times New Roman" w:hAnsi="Times New Roman" w:cs="Times New Roman"/>
      <w:snapToGrid w:val="0"/>
      <w:color w:val="000000"/>
      <w:kern w:val="0"/>
      <w:lang w:eastAsia="de-DE" w:bidi="en-US"/>
    </w:rPr>
  </w:style>
  <w:style w:type="paragraph" w:customStyle="1" w:styleId="E-mail">
    <w:name w:val="E-mail"/>
    <w:link w:val="E-mail0"/>
    <w:uiPriority w:val="5"/>
    <w:qFormat/>
    <w:rsid w:val="00404970"/>
    <w:rPr>
      <w:rFonts w:ascii="Times New Roman" w:eastAsia="Times New Roman" w:hAnsi="Times New Roman" w:cs="Times New Roman"/>
      <w:snapToGrid w:val="0"/>
      <w:color w:val="000000"/>
      <w:kern w:val="0"/>
      <w:szCs w:val="21"/>
      <w:lang w:eastAsia="de-DE" w:bidi="en-US"/>
    </w:rPr>
  </w:style>
  <w:style w:type="character" w:customStyle="1" w:styleId="E-mail0">
    <w:name w:val="E-mail 字符"/>
    <w:basedOn w:val="a0"/>
    <w:link w:val="E-mail"/>
    <w:uiPriority w:val="5"/>
    <w:rsid w:val="00404970"/>
    <w:rPr>
      <w:rFonts w:ascii="Times New Roman" w:eastAsia="Times New Roman" w:hAnsi="Times New Roman" w:cs="Times New Roman"/>
      <w:snapToGrid w:val="0"/>
      <w:color w:val="000000"/>
      <w:kern w:val="0"/>
      <w:szCs w:val="21"/>
      <w:lang w:eastAsia="de-DE" w:bidi="en-US"/>
    </w:rPr>
  </w:style>
  <w:style w:type="paragraph" w:customStyle="1" w:styleId="Equation">
    <w:name w:val="Equation"/>
    <w:uiPriority w:val="17"/>
    <w:qFormat/>
    <w:rsid w:val="00404970"/>
    <w:pPr>
      <w:adjustRightInd w:val="0"/>
      <w:snapToGrid w:val="0"/>
      <w:spacing w:before="60" w:after="60"/>
      <w:ind w:left="709"/>
      <w:jc w:val="center"/>
    </w:pPr>
    <w:rPr>
      <w:rFonts w:ascii="Times New Roman" w:eastAsia="Times New Roman" w:hAnsi="Times New Roman" w:cs="Times New Roman"/>
      <w:snapToGrid w:val="0"/>
      <w:color w:val="000000"/>
      <w:kern w:val="0"/>
      <w:szCs w:val="21"/>
      <w:lang w:eastAsia="de-DE" w:bidi="en-US"/>
    </w:rPr>
  </w:style>
  <w:style w:type="paragraph" w:customStyle="1" w:styleId="Figure">
    <w:name w:val="Figure"/>
    <w:uiPriority w:val="16"/>
    <w:qFormat/>
    <w:rsid w:val="00404970"/>
    <w:pPr>
      <w:adjustRightInd w:val="0"/>
      <w:snapToGrid w:val="0"/>
      <w:jc w:val="center"/>
    </w:pPr>
    <w:rPr>
      <w:rFonts w:ascii="Times New Roman" w:eastAsia="Times New Roman" w:hAnsi="Times New Roman" w:cs="Times New Roman"/>
      <w:snapToGrid w:val="0"/>
      <w:color w:val="000000"/>
      <w:kern w:val="0"/>
      <w:szCs w:val="21"/>
      <w:lang w:eastAsia="de-DE" w:bidi="en-US"/>
    </w:rPr>
  </w:style>
  <w:style w:type="paragraph" w:customStyle="1" w:styleId="Figurecaption">
    <w:name w:val="Figure caption"/>
    <w:uiPriority w:val="16"/>
    <w:qFormat/>
    <w:rsid w:val="00404970"/>
    <w:pPr>
      <w:jc w:val="both"/>
    </w:pPr>
    <w:rPr>
      <w:rFonts w:ascii="Times New Roman" w:eastAsia="Times New Roman" w:hAnsi="Times New Roman" w:cs="Times New Roman"/>
      <w:color w:val="000000"/>
      <w:kern w:val="0"/>
      <w:szCs w:val="21"/>
      <w:lang w:eastAsia="de-DE" w:bidi="en-US"/>
    </w:rPr>
  </w:style>
  <w:style w:type="paragraph" w:customStyle="1" w:styleId="Frontmatter">
    <w:name w:val="Front matter"/>
    <w:uiPriority w:val="8"/>
    <w:qFormat/>
    <w:rsid w:val="00404970"/>
    <w:pPr>
      <w:spacing w:beforeLines="50" w:before="50" w:afterLines="50" w:after="50"/>
      <w:jc w:val="both"/>
    </w:pPr>
    <w:rPr>
      <w:rFonts w:ascii="Times New Roman" w:eastAsia="Times New Roman" w:hAnsi="Times New Roman" w:cs="Times New Roman"/>
      <w:b/>
      <w:snapToGrid w:val="0"/>
      <w:color w:val="000000"/>
      <w:kern w:val="0"/>
      <w:sz w:val="24"/>
      <w:lang w:eastAsia="de-DE" w:bidi="en-US"/>
    </w:rPr>
  </w:style>
  <w:style w:type="paragraph" w:customStyle="1" w:styleId="Keywords">
    <w:name w:val="Keywords"/>
    <w:next w:val="a"/>
    <w:link w:val="Keywords0"/>
    <w:uiPriority w:val="10"/>
    <w:qFormat/>
    <w:rsid w:val="00404970"/>
    <w:pPr>
      <w:adjustRightInd w:val="0"/>
      <w:snapToGrid w:val="0"/>
      <w:jc w:val="both"/>
    </w:pPr>
    <w:rPr>
      <w:rFonts w:ascii="Times New Roman" w:eastAsia="Times New Roman" w:hAnsi="Times New Roman" w:cs="Times New Roman"/>
      <w:snapToGrid w:val="0"/>
      <w:color w:val="000000"/>
      <w:kern w:val="0"/>
      <w:szCs w:val="21"/>
      <w:lang w:eastAsia="de-DE" w:bidi="en-US"/>
    </w:rPr>
  </w:style>
  <w:style w:type="character" w:customStyle="1" w:styleId="Keywords0">
    <w:name w:val="Keywords 字符"/>
    <w:basedOn w:val="a0"/>
    <w:link w:val="Keywords"/>
    <w:uiPriority w:val="10"/>
    <w:rsid w:val="00404970"/>
    <w:rPr>
      <w:rFonts w:ascii="Times New Roman" w:eastAsia="Times New Roman" w:hAnsi="Times New Roman" w:cs="Times New Roman"/>
      <w:snapToGrid w:val="0"/>
      <w:color w:val="000000"/>
      <w:kern w:val="0"/>
      <w:szCs w:val="21"/>
      <w:lang w:eastAsia="de-DE" w:bidi="en-US"/>
    </w:rPr>
  </w:style>
  <w:style w:type="paragraph" w:customStyle="1" w:styleId="Reference">
    <w:name w:val="Reference"/>
    <w:link w:val="Reference0"/>
    <w:uiPriority w:val="19"/>
    <w:qFormat/>
    <w:rsid w:val="00404970"/>
    <w:pPr>
      <w:ind w:left="200" w:hangingChars="200" w:hanging="200"/>
      <w:jc w:val="both"/>
    </w:pPr>
    <w:rPr>
      <w:rFonts w:ascii="Times New Roman" w:eastAsia="Times New Roman" w:hAnsi="Times New Roman" w:cs="Times New Roman"/>
      <w:snapToGrid w:val="0"/>
      <w:color w:val="000000"/>
      <w:kern w:val="0"/>
      <w:sz w:val="18"/>
      <w:szCs w:val="21"/>
      <w:lang w:eastAsia="de-DE" w:bidi="en-US"/>
    </w:rPr>
  </w:style>
  <w:style w:type="character" w:customStyle="1" w:styleId="Reference0">
    <w:name w:val="Reference 字符"/>
    <w:basedOn w:val="Keywords0"/>
    <w:link w:val="Reference"/>
    <w:uiPriority w:val="19"/>
    <w:rsid w:val="00404970"/>
    <w:rPr>
      <w:rFonts w:ascii="Times New Roman" w:eastAsia="Times New Roman" w:hAnsi="Times New Roman" w:cs="Times New Roman"/>
      <w:snapToGrid w:val="0"/>
      <w:color w:val="000000"/>
      <w:kern w:val="0"/>
      <w:sz w:val="18"/>
      <w:szCs w:val="21"/>
      <w:lang w:eastAsia="de-DE" w:bidi="en-US"/>
    </w:rPr>
  </w:style>
  <w:style w:type="paragraph" w:customStyle="1" w:styleId="Tablebody">
    <w:name w:val="Table body"/>
    <w:uiPriority w:val="13"/>
    <w:qFormat/>
    <w:rsid w:val="00404970"/>
    <w:pPr>
      <w:jc w:val="both"/>
    </w:pPr>
    <w:rPr>
      <w:rFonts w:ascii="Times New Roman" w:eastAsia="Times New Roman" w:hAnsi="Times New Roman" w:cs="Times New Roman"/>
      <w:snapToGrid w:val="0"/>
      <w:color w:val="000000"/>
      <w:kern w:val="0"/>
      <w:szCs w:val="21"/>
      <w:lang w:eastAsia="de-DE" w:bidi="en-US"/>
    </w:rPr>
  </w:style>
  <w:style w:type="paragraph" w:customStyle="1" w:styleId="Tablecaption">
    <w:name w:val="Table caption"/>
    <w:uiPriority w:val="14"/>
    <w:qFormat/>
    <w:rsid w:val="00404970"/>
    <w:pPr>
      <w:adjustRightInd w:val="0"/>
      <w:snapToGrid w:val="0"/>
      <w:spacing w:beforeLines="100" w:before="100" w:afterLines="100" w:after="100"/>
      <w:jc w:val="center"/>
    </w:pPr>
    <w:rPr>
      <w:rFonts w:ascii="Times New Roman" w:eastAsia="Times New Roman" w:hAnsi="Times New Roman" w:cs="Times New Roman"/>
      <w:b/>
      <w:noProof/>
      <w:color w:val="000000"/>
      <w:kern w:val="0"/>
      <w:szCs w:val="24"/>
      <w:lang w:bidi="en-US"/>
    </w:rPr>
  </w:style>
  <w:style w:type="paragraph" w:customStyle="1" w:styleId="Tablefooter">
    <w:name w:val="Table footer"/>
    <w:next w:val="a"/>
    <w:uiPriority w:val="15"/>
    <w:qFormat/>
    <w:rsid w:val="00404970"/>
    <w:pPr>
      <w:jc w:val="both"/>
    </w:pPr>
    <w:rPr>
      <w:rFonts w:ascii="Times New Roman" w:eastAsia="Times New Roman" w:hAnsi="Times New Roman" w:cs="Times New Roman"/>
      <w:color w:val="000000"/>
      <w:kern w:val="0"/>
      <w:szCs w:val="21"/>
      <w:lang w:eastAsia="de-DE" w:bidi="en-US"/>
    </w:rPr>
  </w:style>
  <w:style w:type="paragraph" w:customStyle="1" w:styleId="Text">
    <w:name w:val="Text"/>
    <w:link w:val="Text0"/>
    <w:uiPriority w:val="12"/>
    <w:qFormat/>
    <w:rsid w:val="00404970"/>
    <w:pPr>
      <w:ind w:firstLineChars="200" w:firstLine="200"/>
      <w:jc w:val="both"/>
    </w:pPr>
    <w:rPr>
      <w:rFonts w:ascii="Times New Roman" w:eastAsia="Times New Roman" w:hAnsi="Times New Roman" w:cs="Times New Roman"/>
      <w:snapToGrid w:val="0"/>
      <w:color w:val="000000"/>
      <w:kern w:val="0"/>
      <w:szCs w:val="28"/>
      <w:lang w:eastAsia="de-DE" w:bidi="en-US"/>
    </w:rPr>
  </w:style>
  <w:style w:type="character" w:customStyle="1" w:styleId="10">
    <w:name w:val="标题 1 字符"/>
    <w:aliases w:val="Heading level 1 字符"/>
    <w:basedOn w:val="a0"/>
    <w:link w:val="1"/>
    <w:uiPriority w:val="11"/>
    <w:rsid w:val="00404970"/>
    <w:rPr>
      <w:rFonts w:ascii="Times New Roman" w:eastAsia="Times New Roman" w:hAnsi="Times New Roman" w:cs="Times New Roman"/>
      <w:b/>
      <w:bCs/>
      <w:noProof/>
      <w:color w:val="000000"/>
      <w:kern w:val="44"/>
      <w:sz w:val="24"/>
      <w:szCs w:val="24"/>
    </w:rPr>
  </w:style>
  <w:style w:type="character" w:customStyle="1" w:styleId="20">
    <w:name w:val="标题 2 字符"/>
    <w:aliases w:val="Heading level 2 字符"/>
    <w:basedOn w:val="a0"/>
    <w:link w:val="2"/>
    <w:uiPriority w:val="9"/>
    <w:rsid w:val="00404970"/>
    <w:rPr>
      <w:rFonts w:ascii="Times New Roman" w:eastAsia="Times New Roman" w:hAnsi="Times New Roman" w:cs="Times New Roman"/>
      <w:b/>
      <w:bCs/>
      <w:i/>
      <w:noProof/>
      <w:color w:val="000000"/>
      <w:kern w:val="0"/>
      <w:szCs w:val="21"/>
    </w:rPr>
  </w:style>
  <w:style w:type="character" w:customStyle="1" w:styleId="30">
    <w:name w:val="标题 3 字符"/>
    <w:aliases w:val="Heading level 3 字符"/>
    <w:basedOn w:val="a0"/>
    <w:link w:val="3"/>
    <w:uiPriority w:val="9"/>
    <w:rsid w:val="00404970"/>
    <w:rPr>
      <w:rFonts w:ascii="Times New Roman" w:eastAsia="Times New Roman" w:hAnsi="Times New Roman" w:cs="Times New Roman"/>
      <w:bCs/>
      <w:i/>
      <w:noProof/>
      <w:color w:val="000000"/>
      <w:kern w:val="0"/>
      <w:szCs w:val="21"/>
    </w:rPr>
  </w:style>
  <w:style w:type="character" w:customStyle="1" w:styleId="Text0">
    <w:name w:val="Text 字符"/>
    <w:basedOn w:val="a0"/>
    <w:link w:val="Text"/>
    <w:uiPriority w:val="12"/>
    <w:rsid w:val="00404970"/>
    <w:rPr>
      <w:rFonts w:ascii="Times New Roman" w:eastAsia="Times New Roman" w:hAnsi="Times New Roman" w:cs="Times New Roman"/>
      <w:snapToGrid w:val="0"/>
      <w:color w:val="000000"/>
      <w:kern w:val="0"/>
      <w:szCs w:val="28"/>
      <w:lang w:eastAsia="de-DE" w:bidi="en-US"/>
    </w:rPr>
  </w:style>
  <w:style w:type="paragraph" w:styleId="a3">
    <w:name w:val="annotation text"/>
    <w:aliases w:val="Comment Text"/>
    <w:basedOn w:val="a"/>
    <w:link w:val="a4"/>
    <w:uiPriority w:val="20"/>
    <w:qFormat/>
    <w:rsid w:val="00404970"/>
    <w:pPr>
      <w:widowControl/>
      <w:adjustRightInd w:val="0"/>
      <w:snapToGrid w:val="0"/>
      <w:jc w:val="left"/>
    </w:pPr>
    <w:rPr>
      <w:rFonts w:ascii="Times New Roman" w:eastAsia="Times New Roman" w:hAnsi="Times New Roman" w:cs="Times New Roman"/>
      <w:kern w:val="0"/>
      <w:szCs w:val="21"/>
      <w:lang w:eastAsia="es-ES"/>
    </w:rPr>
  </w:style>
  <w:style w:type="character" w:customStyle="1" w:styleId="a4">
    <w:name w:val="批注文字 字符"/>
    <w:aliases w:val="Comment Text 字符"/>
    <w:basedOn w:val="a0"/>
    <w:link w:val="a3"/>
    <w:uiPriority w:val="20"/>
    <w:qFormat/>
    <w:rsid w:val="00404970"/>
    <w:rPr>
      <w:rFonts w:ascii="Times New Roman" w:eastAsia="Times New Roman" w:hAnsi="Times New Roman" w:cs="Times New Roman"/>
      <w:kern w:val="0"/>
      <w:szCs w:val="21"/>
      <w:lang w:eastAsia="es-ES"/>
    </w:rPr>
  </w:style>
  <w:style w:type="paragraph" w:customStyle="1" w:styleId="Historytime">
    <w:name w:val="History time"/>
    <w:next w:val="Articletype"/>
    <w:uiPriority w:val="7"/>
    <w:qFormat/>
    <w:rsid w:val="00404970"/>
    <w:rPr>
      <w:rFonts w:ascii="Times New Roman" w:eastAsia="Times New Roman" w:hAnsi="Times New Roman" w:cs="Times New Roman"/>
      <w:color w:val="000000"/>
      <w:kern w:val="0"/>
      <w:szCs w:val="21"/>
      <w:lang w:eastAsia="de-DE" w:bidi="en-US"/>
    </w:rPr>
  </w:style>
  <w:style w:type="character" w:customStyle="1" w:styleId="40">
    <w:name w:val="标题 4 字符"/>
    <w:aliases w:val="Heading level 4 字符"/>
    <w:basedOn w:val="a0"/>
    <w:link w:val="4"/>
    <w:uiPriority w:val="11"/>
    <w:rsid w:val="00404970"/>
    <w:rPr>
      <w:rFonts w:ascii="Times New Roman" w:eastAsia="Times New Roman" w:hAnsi="Times New Roman" w:cs="Times New Roman"/>
      <w:bCs/>
      <w:noProof/>
      <w:color w:val="000000"/>
      <w:kern w:val="0"/>
      <w:szCs w:val="21"/>
    </w:rPr>
  </w:style>
  <w:style w:type="paragraph" w:customStyle="1" w:styleId="Blockquote">
    <w:name w:val="Block quote"/>
    <w:basedOn w:val="Articletype"/>
    <w:uiPriority w:val="17"/>
    <w:qFormat/>
    <w:rsid w:val="00404970"/>
    <w:pPr>
      <w:adjustRightInd/>
      <w:snapToGrid/>
      <w:spacing w:before="240" w:after="240"/>
      <w:ind w:left="720"/>
      <w:jc w:val="both"/>
    </w:pPr>
    <w:rPr>
      <w:i w:val="0"/>
      <w:sz w:val="21"/>
      <w:szCs w:val="21"/>
    </w:rPr>
  </w:style>
  <w:style w:type="paragraph" w:styleId="a5">
    <w:name w:val="header"/>
    <w:basedOn w:val="a"/>
    <w:link w:val="a6"/>
    <w:uiPriority w:val="99"/>
    <w:unhideWhenUsed/>
    <w:rsid w:val="0046777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6777C"/>
    <w:rPr>
      <w:sz w:val="18"/>
      <w:szCs w:val="18"/>
    </w:rPr>
  </w:style>
  <w:style w:type="paragraph" w:styleId="a7">
    <w:name w:val="footer"/>
    <w:basedOn w:val="a"/>
    <w:link w:val="a8"/>
    <w:uiPriority w:val="99"/>
    <w:unhideWhenUsed/>
    <w:rsid w:val="0046777C"/>
    <w:pPr>
      <w:tabs>
        <w:tab w:val="center" w:pos="4153"/>
        <w:tab w:val="right" w:pos="8306"/>
      </w:tabs>
      <w:snapToGrid w:val="0"/>
      <w:jc w:val="left"/>
    </w:pPr>
    <w:rPr>
      <w:sz w:val="18"/>
      <w:szCs w:val="18"/>
    </w:rPr>
  </w:style>
  <w:style w:type="character" w:customStyle="1" w:styleId="a8">
    <w:name w:val="页脚 字符"/>
    <w:basedOn w:val="a0"/>
    <w:link w:val="a7"/>
    <w:uiPriority w:val="99"/>
    <w:rsid w:val="0046777C"/>
    <w:rPr>
      <w:sz w:val="18"/>
      <w:szCs w:val="18"/>
    </w:rPr>
  </w:style>
  <w:style w:type="character" w:styleId="a9">
    <w:name w:val="Strong"/>
    <w:basedOn w:val="a0"/>
    <w:uiPriority w:val="22"/>
    <w:qFormat/>
    <w:rsid w:val="00DD4D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368</Words>
  <Characters>2101</Characters>
  <Application>Microsoft Office Word</Application>
  <DocSecurity>0</DocSecurity>
  <Lines>17</Lines>
  <Paragraphs>4</Paragraphs>
  <ScaleCrop>false</ScaleCrop>
  <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Teo</dc:creator>
  <cp:keywords/>
  <dc:description/>
  <cp:lastModifiedBy>Chelsea Chew</cp:lastModifiedBy>
  <cp:revision>9</cp:revision>
  <dcterms:created xsi:type="dcterms:W3CDTF">2026-04-09T08:11:00Z</dcterms:created>
  <dcterms:modified xsi:type="dcterms:W3CDTF">2026-07-07T07:43:00Z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0a4c52ae-ebbd-4628-8b48-7ce74dcfdfdf</vt:lpwstr>
  </property>
</Properties>
</file>